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56677E" w:rsidTr="008D42A0">
        <w:trPr>
          <w:trHeight w:val="1191"/>
        </w:trPr>
        <w:tc>
          <w:tcPr>
            <w:tcW w:w="9923" w:type="dxa"/>
            <w:noWrap/>
          </w:tcPr>
          <w:p w:rsidR="0056677E" w:rsidRPr="00BB464D" w:rsidRDefault="00E66208" w:rsidP="0056677E">
            <w:pPr>
              <w:pStyle w:val="Kolofon"/>
              <w:rPr>
                <w:color w:val="FF0000"/>
              </w:rPr>
            </w:pPr>
            <w:r w:rsidRPr="00BB464D">
              <w:rPr>
                <w:b/>
                <w:color w:val="FF0000"/>
              </w:rPr>
              <w:t>(Skriv afdeling her)</w:t>
            </w:r>
          </w:p>
          <w:p w:rsidR="0056677E" w:rsidRPr="0056677E" w:rsidRDefault="00BA0A83" w:rsidP="0056677E">
            <w:pPr>
              <w:pStyle w:val="Kolofon"/>
            </w:pPr>
            <w:r>
              <w:t xml:space="preserve">Dato: </w:t>
            </w:r>
            <w:r w:rsidR="00E66208" w:rsidRPr="005C78BB">
              <w:rPr>
                <w:color w:val="FF0000"/>
              </w:rPr>
              <w:t>(Skriv her)</w:t>
            </w:r>
          </w:p>
          <w:p w:rsidR="0056677E" w:rsidRPr="0056677E" w:rsidRDefault="0056677E" w:rsidP="0056677E">
            <w:pPr>
              <w:pStyle w:val="Kolofon"/>
            </w:pPr>
            <w:r w:rsidRPr="0056677E">
              <w:t xml:space="preserve">Sagsnr.: </w:t>
            </w:r>
            <w:r w:rsidR="00E66208" w:rsidRPr="005C78BB">
              <w:rPr>
                <w:color w:val="FF0000"/>
              </w:rPr>
              <w:t>(Skriv her)</w:t>
            </w:r>
          </w:p>
          <w:p w:rsidR="0056677E" w:rsidRPr="0056677E" w:rsidRDefault="0056677E" w:rsidP="0056677E">
            <w:pPr>
              <w:pStyle w:val="Kolofon"/>
            </w:pPr>
            <w:r w:rsidRPr="0056677E">
              <w:t xml:space="preserve">Sagsbehandler: </w:t>
            </w:r>
            <w:r w:rsidR="00E66208" w:rsidRPr="005C78BB">
              <w:rPr>
                <w:color w:val="FF0000"/>
              </w:rPr>
              <w:t>(Skriv her)</w:t>
            </w:r>
          </w:p>
          <w:p w:rsidR="0056677E" w:rsidRPr="0056677E" w:rsidRDefault="0056677E" w:rsidP="0056677E">
            <w:pPr>
              <w:pStyle w:val="Kolofon"/>
            </w:pPr>
            <w:r w:rsidRPr="0056677E">
              <w:t xml:space="preserve">Direkte tlf.: </w:t>
            </w:r>
            <w:r w:rsidR="00E66208" w:rsidRPr="005C78BB">
              <w:rPr>
                <w:color w:val="FF0000"/>
              </w:rPr>
              <w:t>(Skriv her)</w:t>
            </w:r>
          </w:p>
          <w:p w:rsidR="00206615" w:rsidRPr="0056677E" w:rsidRDefault="0056677E" w:rsidP="0056677E">
            <w:pPr>
              <w:pStyle w:val="Kolofon"/>
            </w:pPr>
            <w:r w:rsidRPr="0056677E">
              <w:t xml:space="preserve">E-mail: </w:t>
            </w:r>
            <w:r w:rsidR="00E66208" w:rsidRPr="005C78BB">
              <w:rPr>
                <w:color w:val="FF0000"/>
              </w:rPr>
              <w:t>(Skriv her)</w:t>
            </w:r>
          </w:p>
          <w:p w:rsidR="00206615" w:rsidRPr="0056677E" w:rsidRDefault="00206615" w:rsidP="002C3CD2">
            <w:pPr>
              <w:pStyle w:val="Kolofon"/>
            </w:pPr>
          </w:p>
        </w:tc>
      </w:tr>
    </w:tbl>
    <w:p w:rsidR="00206615" w:rsidRPr="0056677E" w:rsidRDefault="00206615"/>
    <w:p w:rsidR="0056677E" w:rsidRDefault="0056677E" w:rsidP="0056677E">
      <w:pPr>
        <w:rPr>
          <w:b/>
        </w:rPr>
      </w:pPr>
      <w:bookmarkStart w:id="0" w:name="bmkHeader"/>
      <w:bookmarkEnd w:id="0"/>
      <w:r>
        <w:rPr>
          <w:b/>
        </w:rPr>
        <w:t xml:space="preserve">Vurdering af </w:t>
      </w:r>
      <w:r w:rsidR="009C3A5F">
        <w:rPr>
          <w:b/>
        </w:rPr>
        <w:t>IT-A</w:t>
      </w:r>
      <w:r>
        <w:rPr>
          <w:b/>
        </w:rPr>
        <w:t>rkitekturprincipper</w:t>
      </w:r>
      <w:r w:rsidR="00104AF6">
        <w:rPr>
          <w:rStyle w:val="Fodnotehenvisning"/>
          <w:b/>
        </w:rPr>
        <w:footnoteReference w:id="1"/>
      </w:r>
      <w:r>
        <w:rPr>
          <w:b/>
        </w:rPr>
        <w:t xml:space="preserve"> i relation til anskaffelse af</w:t>
      </w:r>
      <w:r w:rsidR="00E2358D">
        <w:rPr>
          <w:b/>
        </w:rPr>
        <w:t>:</w:t>
      </w:r>
    </w:p>
    <w:p w:rsidR="00E2358D" w:rsidRPr="00E2358D" w:rsidRDefault="00E2358D" w:rsidP="0056677E">
      <w:r w:rsidRPr="00E2358D">
        <w:t>(angiv navn</w:t>
      </w:r>
      <w:r>
        <w:t>et på</w:t>
      </w:r>
      <w:r w:rsidRPr="00E2358D">
        <w:t xml:space="preserve"> system</w:t>
      </w:r>
      <w:r w:rsidR="009C3A5F">
        <w:t>et</w:t>
      </w:r>
      <w:r w:rsidRPr="00E2358D">
        <w:t>)</w:t>
      </w:r>
    </w:p>
    <w:p w:rsidR="0056677E" w:rsidRDefault="0056677E" w:rsidP="0056677E">
      <w:pPr>
        <w:rPr>
          <w:b/>
        </w:rPr>
      </w:pPr>
    </w:p>
    <w:tbl>
      <w:tblPr>
        <w:tblStyle w:val="Tabel-Gitter"/>
        <w:tblW w:w="5098" w:type="pct"/>
        <w:tblLayout w:type="fixed"/>
        <w:tblLook w:val="04A0" w:firstRow="1" w:lastRow="0" w:firstColumn="1" w:lastColumn="0" w:noHBand="0" w:noVBand="1"/>
      </w:tblPr>
      <w:tblGrid>
        <w:gridCol w:w="1555"/>
        <w:gridCol w:w="2697"/>
        <w:gridCol w:w="2624"/>
        <w:gridCol w:w="2073"/>
      </w:tblGrid>
      <w:tr w:rsidR="0056677E" w:rsidRPr="001B4B31" w:rsidTr="00D52B41">
        <w:tc>
          <w:tcPr>
            <w:tcW w:w="869" w:type="pct"/>
            <w:shd w:val="clear" w:color="auto" w:fill="F2F2F2" w:themeFill="background1" w:themeFillShade="F2"/>
          </w:tcPr>
          <w:p w:rsidR="0056677E" w:rsidRPr="001B4B31" w:rsidRDefault="0056677E" w:rsidP="00E51CA6">
            <w:pPr>
              <w:spacing w:before="20" w:after="20"/>
              <w:rPr>
                <w:b/>
              </w:rPr>
            </w:pPr>
            <w:r w:rsidRPr="001B4B31">
              <w:rPr>
                <w:b/>
              </w:rPr>
              <w:t>Emne</w:t>
            </w:r>
          </w:p>
        </w:tc>
        <w:tc>
          <w:tcPr>
            <w:tcW w:w="1507" w:type="pct"/>
            <w:shd w:val="clear" w:color="auto" w:fill="F2F2F2" w:themeFill="background1" w:themeFillShade="F2"/>
          </w:tcPr>
          <w:p w:rsidR="0056677E" w:rsidRPr="001B4B31" w:rsidRDefault="0056677E" w:rsidP="00E51CA6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Beskrivelse </w:t>
            </w:r>
          </w:p>
        </w:tc>
        <w:tc>
          <w:tcPr>
            <w:tcW w:w="1466" w:type="pct"/>
            <w:shd w:val="clear" w:color="auto" w:fill="F2F2F2" w:themeFill="background1" w:themeFillShade="F2"/>
          </w:tcPr>
          <w:p w:rsidR="0056677E" w:rsidRPr="001B4B31" w:rsidRDefault="0056677E" w:rsidP="00E2358D">
            <w:pPr>
              <w:spacing w:before="20" w:after="20"/>
              <w:rPr>
                <w:b/>
              </w:rPr>
            </w:pPr>
            <w:r>
              <w:rPr>
                <w:b/>
              </w:rPr>
              <w:t>Anbefaling</w:t>
            </w:r>
          </w:p>
        </w:tc>
        <w:tc>
          <w:tcPr>
            <w:tcW w:w="1158" w:type="pct"/>
            <w:shd w:val="clear" w:color="auto" w:fill="F2F2F2" w:themeFill="background1" w:themeFillShade="F2"/>
          </w:tcPr>
          <w:p w:rsidR="0056677E" w:rsidRDefault="00E2358D" w:rsidP="00E51CA6">
            <w:pPr>
              <w:spacing w:before="20" w:after="20"/>
              <w:rPr>
                <w:b/>
              </w:rPr>
            </w:pPr>
            <w:r>
              <w:rPr>
                <w:b/>
              </w:rPr>
              <w:t>Vurdering</w:t>
            </w: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>Brevforsendelser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>Den fælleskommunale infrastruktur kan anvendes til forsendelser af breve til hhv. Digital Post og kommunens fjernprintleverandør.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>Stil krav om at løsning</w:t>
            </w:r>
            <w:bookmarkStart w:id="1" w:name="_GoBack"/>
            <w:bookmarkEnd w:id="1"/>
            <w:r>
              <w:t>en anvender Serviceplatformens printservice og fordelingskomponent til forsendelse af breve, samt at print og kuvertering varetages af kommunens fjernprintleverandør.</w:t>
            </w:r>
          </w:p>
        </w:tc>
        <w:tc>
          <w:tcPr>
            <w:tcW w:w="1158" w:type="pct"/>
          </w:tcPr>
          <w:p w:rsidR="0056677E" w:rsidRPr="009C5DAB" w:rsidRDefault="0056677E" w:rsidP="00E51CA6"/>
        </w:tc>
      </w:tr>
      <w:tr w:rsidR="0056677E" w:rsidTr="00D52B41">
        <w:tc>
          <w:tcPr>
            <w:tcW w:w="869" w:type="pct"/>
          </w:tcPr>
          <w:p w:rsidR="0056677E" w:rsidRPr="009451C2" w:rsidRDefault="0056677E" w:rsidP="00E51CA6">
            <w:pPr>
              <w:spacing w:before="20" w:after="20"/>
              <w:rPr>
                <w:color w:val="00B050"/>
              </w:rPr>
            </w:pPr>
            <w:r w:rsidRPr="009451C2">
              <w:t>Logning</w:t>
            </w: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 xml:space="preserve">For at kunne dokumentere, at kommunen sikrer den nødvendige datasikkerhed, skal al </w:t>
            </w:r>
            <w:r w:rsidRPr="00DA409A">
              <w:t xml:space="preserve">databehandling </w:t>
            </w:r>
            <w:r>
              <w:t xml:space="preserve">kunne logges. 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 w:rsidRPr="009451C2">
              <w:t>Stil krav om, at løsningen – på en forståelig måde – skal kunne fremvise fyldestgørende log af databehandlingen.</w:t>
            </w:r>
          </w:p>
        </w:tc>
        <w:tc>
          <w:tcPr>
            <w:tcW w:w="1158" w:type="pct"/>
          </w:tcPr>
          <w:p w:rsidR="0056677E" w:rsidRDefault="0056677E" w:rsidP="00E51CA6"/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>D</w:t>
            </w:r>
            <w:r w:rsidRPr="008B2FB9">
              <w:t>atabehandleraftale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 w:rsidRPr="004B5969">
              <w:t>For at IT-løsninger kan løse opgaver i den kommunale sagsbehandling, skal de have adgang til data. Er der tale om personoplysninger skal der muligvis indgås en databehandleraftale.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 xml:space="preserve">Sørg altid for at vurdere om der skal udarbejdes en databehandleraftale og husk at involvere kommunens Databeskyttelsesrådgiver. Du kan læses mere på </w:t>
            </w:r>
            <w:hyperlink r:id="rId7" w:history="1">
              <w:r w:rsidRPr="007D66B9">
                <w:rPr>
                  <w:rStyle w:val="Hyperlink"/>
                </w:rPr>
                <w:t>medarbejderportalen</w:t>
              </w:r>
            </w:hyperlink>
            <w:r>
              <w:t>, hvor rammerne for databehandleraftaler er beskrevet.</w:t>
            </w:r>
          </w:p>
        </w:tc>
        <w:tc>
          <w:tcPr>
            <w:tcW w:w="1158" w:type="pct"/>
          </w:tcPr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  <w:tcBorders>
              <w:bottom w:val="single" w:sz="4" w:space="0" w:color="auto"/>
            </w:tcBorders>
          </w:tcPr>
          <w:p w:rsidR="0056677E" w:rsidRDefault="0056677E" w:rsidP="00E51CA6">
            <w:pPr>
              <w:spacing w:before="20" w:after="20"/>
            </w:pPr>
            <w:r>
              <w:t xml:space="preserve">Overlappende </w:t>
            </w:r>
          </w:p>
          <w:p w:rsidR="0056677E" w:rsidRDefault="0056677E" w:rsidP="00E51CA6">
            <w:pPr>
              <w:spacing w:before="20" w:after="20"/>
            </w:pPr>
            <w:r>
              <w:t>funktionalitet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56677E" w:rsidRDefault="0056677E" w:rsidP="00E51CA6">
            <w:pPr>
              <w:spacing w:before="20" w:after="20"/>
            </w:pPr>
            <w:r>
              <w:t xml:space="preserve">Et eksempel på en funktion, der findes i en række systemer, er SMS. Hver leverandør tilbyder deres unikke SMS løsning, tilpasset netop deres system. 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56677E" w:rsidRDefault="0056677E" w:rsidP="00E51CA6">
            <w:pPr>
              <w:spacing w:before="20" w:after="20"/>
            </w:pPr>
            <w:r>
              <w:t xml:space="preserve">Stil krav om at løsningen anvender kommunes </w:t>
            </w:r>
            <w:proofErr w:type="spellStart"/>
            <w:r>
              <w:t>NemSMSløsning</w:t>
            </w:r>
            <w:proofErr w:type="spellEnd"/>
            <w:r>
              <w:t xml:space="preserve"> i Digital Post.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 w:rsidRPr="00710FC3">
              <w:t>Snitfladeoverblik er et leverandøransvar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 xml:space="preserve">Det kan være vanskeligt, at have overblik over de snitflader et IT-system har. Det giver udfordringer i forhold </w:t>
            </w:r>
            <w:r>
              <w:lastRenderedPageBreak/>
              <w:t xml:space="preserve">systemafhængigheder fx ved udbud. 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lastRenderedPageBreak/>
              <w:t xml:space="preserve">Stil krav om at </w:t>
            </w:r>
            <w:r w:rsidRPr="00B75CA0">
              <w:t>leverandøren løbende (fx hver</w:t>
            </w:r>
            <w:r>
              <w:t>t</w:t>
            </w:r>
            <w:r w:rsidRPr="00B75CA0">
              <w:t xml:space="preserve"> kvartal)</w:t>
            </w:r>
            <w:r>
              <w:t>,</w:t>
            </w:r>
            <w:r w:rsidRPr="00B75CA0">
              <w:t xml:space="preserve"> fremsende</w:t>
            </w:r>
            <w:r>
              <w:t>r</w:t>
            </w:r>
            <w:r w:rsidRPr="00B75CA0">
              <w:t xml:space="preserve"> en opdateret snitfladeoversigt</w:t>
            </w:r>
            <w:r>
              <w:t xml:space="preserve">, indeholdende </w:t>
            </w:r>
            <w:r w:rsidRPr="00B75CA0">
              <w:lastRenderedPageBreak/>
              <w:t>navn på snitflader, involverede systemer, integrationsmønstr</w:t>
            </w:r>
            <w:r>
              <w:t>e</w:t>
            </w:r>
            <w:r w:rsidRPr="00B75CA0">
              <w:t xml:space="preserve"> samt datatype</w:t>
            </w:r>
            <w:r>
              <w:t>r.</w:t>
            </w:r>
          </w:p>
        </w:tc>
        <w:tc>
          <w:tcPr>
            <w:tcW w:w="1158" w:type="pct"/>
          </w:tcPr>
          <w:p w:rsidR="0056677E" w:rsidRDefault="0056677E" w:rsidP="00E51CA6">
            <w:pPr>
              <w:spacing w:before="20" w:after="20"/>
            </w:pPr>
          </w:p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>Adgangsstyring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2358D">
            <w:pPr>
              <w:spacing w:before="20" w:after="20"/>
            </w:pPr>
            <w:r>
              <w:t xml:space="preserve">Når man først er logget på Citrix skal man ikke blive mødt af andre log-on krav, da adgangen bliver styret via single sign-on. Borgervendte løsninger skal bruge </w:t>
            </w:r>
            <w:proofErr w:type="spellStart"/>
            <w:r>
              <w:t>NemID</w:t>
            </w:r>
            <w:proofErr w:type="spellEnd"/>
            <w:r>
              <w:t>.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 xml:space="preserve">Stil krav om at adgangsstyring sker gennem single sign-on, baseret på kommunens AD og Støttesystemet Adgangsstyring. Anvend </w:t>
            </w:r>
            <w:proofErr w:type="spellStart"/>
            <w:r>
              <w:t>NemID</w:t>
            </w:r>
            <w:proofErr w:type="spellEnd"/>
            <w:r>
              <w:t>, ved borgervendte løsninger.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158" w:type="pct"/>
          </w:tcPr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 xml:space="preserve">Beskrivelse af </w:t>
            </w:r>
            <w:proofErr w:type="spellStart"/>
            <w:r w:rsidRPr="005B596D">
              <w:t>dataflow</w:t>
            </w:r>
            <w:proofErr w:type="spellEnd"/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 xml:space="preserve">Ejerskab over data forudsætter viden om data. Denne kan opnås ved at kommunen får styr på hvilke data, der flyttes via hvilke kanaler, det såkaldte </w:t>
            </w:r>
            <w:proofErr w:type="spellStart"/>
            <w:r>
              <w:t>dataflow</w:t>
            </w:r>
            <w:proofErr w:type="spellEnd"/>
            <w:r>
              <w:t>.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 w:rsidRPr="00F454C5">
              <w:t>Stil krav om at løsningen</w:t>
            </w:r>
            <w:r>
              <w:t xml:space="preserve">s </w:t>
            </w:r>
            <w:proofErr w:type="spellStart"/>
            <w:r>
              <w:t>dataflow</w:t>
            </w:r>
            <w:proofErr w:type="spellEnd"/>
            <w:r>
              <w:t xml:space="preserve"> skitseres både som illustration, og med beskrivelse af hvilke datatyper, der udveksles via de respektive integrationsmønstre.</w:t>
            </w:r>
          </w:p>
        </w:tc>
        <w:tc>
          <w:tcPr>
            <w:tcW w:w="1158" w:type="pct"/>
          </w:tcPr>
          <w:p w:rsidR="0056677E" w:rsidRPr="00F454C5" w:rsidRDefault="0056677E" w:rsidP="00E2358D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>Ingen kopidata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 xml:space="preserve">En lang række systemer anvender kopiregistrene P-data, V-data, DPR og P-data-online. </w:t>
            </w:r>
          </w:p>
          <w:p w:rsidR="0056677E" w:rsidRDefault="0056677E" w:rsidP="00E51CA6">
            <w:pPr>
              <w:spacing w:before="20" w:after="20"/>
            </w:pPr>
            <w:r>
              <w:t>Det er dyrt og unødvendigt.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 xml:space="preserve">Stil krav om at løsningen anvender </w:t>
            </w:r>
            <w:r w:rsidRPr="0088190E">
              <w:t xml:space="preserve">autoritative </w:t>
            </w:r>
            <w:r>
              <w:t>data, der hentes enten via Serviceplatformen, eller den fællesoffentlige Datafordeler.</w:t>
            </w:r>
          </w:p>
        </w:tc>
        <w:tc>
          <w:tcPr>
            <w:tcW w:w="1158" w:type="pct"/>
          </w:tcPr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 w:rsidRPr="0090089E">
              <w:t xml:space="preserve">Infrastruktur &amp; </w:t>
            </w:r>
            <w:r>
              <w:t>s</w:t>
            </w:r>
            <w:r w:rsidRPr="0090089E">
              <w:t>erverplatform</w:t>
            </w: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>En ny løsning skal kunne fungere inden for rammerne af den lokale infrastruktur, fx på Citrix.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 xml:space="preserve">Stil krav om at løsningen skal kunne fungere i sin helhed på Citrix, uden at evt. tilpasninger afstedkommer ekstraudgifter.  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158" w:type="pct"/>
          </w:tcPr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>Rammearkitekturens byggeblokke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 xml:space="preserve">Når man opdeler kommunale opgaver i byggeblokke, kan man </w:t>
            </w:r>
            <w:r w:rsidRPr="00495FE2">
              <w:t>definere og specificere enty</w:t>
            </w:r>
            <w:r>
              <w:t>dige</w:t>
            </w:r>
            <w:r w:rsidRPr="00495FE2">
              <w:t xml:space="preserve"> forretningsservice</w:t>
            </w:r>
            <w:r>
              <w:t>s</w:t>
            </w:r>
            <w:r w:rsidRPr="00495FE2">
              <w:t xml:space="preserve"> i form af informationer, processer og regler.</w:t>
            </w:r>
            <w:r>
              <w:t xml:space="preserve"> Det giver overblik og gør, at man kan genbruge beskrivelserne i forhold til andre IT-systemer. 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 xml:space="preserve">Stil krav om at den enkelte opgave defineres og beskrives via de fælleskommunale byggeblokke, samt at løsningen anvender </w:t>
            </w:r>
            <w:r w:rsidRPr="00724099">
              <w:t xml:space="preserve">fælles integrationsmønstre og </w:t>
            </w:r>
            <w:r>
              <w:t xml:space="preserve">at </w:t>
            </w:r>
            <w:r w:rsidRPr="00724099">
              <w:t>data udveksles i henhold til aftalte protokol</w:t>
            </w:r>
            <w:r>
              <w:t xml:space="preserve">ler. </w:t>
            </w:r>
          </w:p>
        </w:tc>
        <w:tc>
          <w:tcPr>
            <w:tcW w:w="1158" w:type="pct"/>
          </w:tcPr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lastRenderedPageBreak/>
              <w:t>Grunddata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Pr="00231F4A" w:rsidRDefault="0056677E" w:rsidP="00E51CA6">
            <w:pPr>
              <w:spacing w:before="20" w:after="20"/>
            </w:pPr>
            <w:r>
              <w:t>G</w:t>
            </w:r>
            <w:r w:rsidRPr="00E00842">
              <w:t>runddataprogrammet sam</w:t>
            </w:r>
            <w:r>
              <w:t>ler</w:t>
            </w:r>
            <w:r w:rsidRPr="00E00842">
              <w:t xml:space="preserve"> de grundlæggende registreringer om Danmark og danskerne under det fælles begreb grunddata. Det betyder, at data er standardiserede, så de kan kombineres og anvendes sammenhængende.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>Ved anskaffelse IT-løsninger bør Grunddataprogrammet tænkes ind som en ressource, der kan understøtte forretningens opgavevaretagelse.</w:t>
            </w:r>
          </w:p>
        </w:tc>
        <w:tc>
          <w:tcPr>
            <w:tcW w:w="1158" w:type="pct"/>
          </w:tcPr>
          <w:p w:rsidR="0056677E" w:rsidRDefault="0056677E" w:rsidP="00E2358D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>Snitflader til den fælleskommunale infrastruktur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 xml:space="preserve">Den fælleskommunale infrastruktur med Støttesystemerne og Serviceplatformen danner grundlaget for en uafhængig opgavevaretagelse. </w:t>
            </w:r>
          </w:p>
          <w:p w:rsidR="0056677E" w:rsidRDefault="0056677E" w:rsidP="00E51CA6">
            <w:pPr>
              <w:spacing w:before="20" w:after="20"/>
            </w:pPr>
            <w:r>
              <w:t xml:space="preserve">Hvor indekserne skaber forudsætningen for en helhedsorienteret sagsbehandling, med udgangspunkt i SAPA, leverer Beskedfordeler og </w:t>
            </w:r>
            <w:r w:rsidRPr="00353BEE">
              <w:t>’Fordelingskomponenten’</w:t>
            </w:r>
            <w:r>
              <w:t xml:space="preserve"> </w:t>
            </w:r>
            <w:r w:rsidRPr="009E3BC8">
              <w:t xml:space="preserve">notifikationsbeskeder </w:t>
            </w:r>
            <w:r>
              <w:t xml:space="preserve">og dokumentation om væsentlige forretningshændelser. 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>Stil krav om at l</w:t>
            </w:r>
            <w:r w:rsidRPr="009E3BC8">
              <w:t xml:space="preserve">øsningen skal integreres med </w:t>
            </w:r>
            <w:r>
              <w:t>de fælleskommunale</w:t>
            </w:r>
            <w:r w:rsidRPr="009E3BC8">
              <w:t xml:space="preserve"> Støttesystemer, herunder levere data til </w:t>
            </w:r>
            <w:r>
              <w:t>’</w:t>
            </w:r>
            <w:r w:rsidRPr="009E3BC8">
              <w:t>Sags- og Dokument</w:t>
            </w:r>
            <w:r>
              <w:t>indekset’</w:t>
            </w:r>
            <w:r w:rsidRPr="009E3BC8">
              <w:t xml:space="preserve"> samt </w:t>
            </w:r>
            <w:r>
              <w:t>’</w:t>
            </w:r>
            <w:r w:rsidRPr="009E3BC8">
              <w:t>Ydelsesindekset</w:t>
            </w:r>
            <w:r>
              <w:t>’</w:t>
            </w:r>
            <w:r w:rsidRPr="009E3BC8">
              <w:t>. End</w:t>
            </w:r>
            <w:r>
              <w:t>videre skal l</w:t>
            </w:r>
            <w:r w:rsidRPr="009E3BC8">
              <w:t xml:space="preserve">øsningen </w:t>
            </w:r>
            <w:r>
              <w:t>kunne anvende</w:t>
            </w:r>
            <w:r w:rsidRPr="009E3BC8">
              <w:t xml:space="preserve"> </w:t>
            </w:r>
            <w:r>
              <w:t>infrastrukturkomponenterne</w:t>
            </w:r>
            <w:r w:rsidRPr="009E3BC8">
              <w:t xml:space="preserve"> </w:t>
            </w:r>
            <w:r>
              <w:t>’</w:t>
            </w:r>
            <w:r w:rsidRPr="009E3BC8">
              <w:t>Beskedforde</w:t>
            </w:r>
            <w:r>
              <w:t xml:space="preserve">ler’ og ’Fordelingskomponenten’. </w:t>
            </w:r>
          </w:p>
          <w:p w:rsidR="0056677E" w:rsidRDefault="0056677E" w:rsidP="00E51CA6">
            <w:pPr>
              <w:spacing w:before="20" w:after="20"/>
            </w:pPr>
            <w:r>
              <w:t xml:space="preserve">I forhold til udveksling af økonomiske data, anvendes snitflader defineret under </w:t>
            </w:r>
            <w:r w:rsidRPr="00813EB3">
              <w:t>ØiR</w:t>
            </w:r>
            <w:r>
              <w:t xml:space="preserve"> (Økonomi i Rammearkitekturen).</w:t>
            </w:r>
            <w:r w:rsidRPr="00813EB3">
              <w:t xml:space="preserve">  </w:t>
            </w:r>
          </w:p>
        </w:tc>
        <w:tc>
          <w:tcPr>
            <w:tcW w:w="1158" w:type="pct"/>
          </w:tcPr>
          <w:p w:rsidR="0056677E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r>
              <w:t xml:space="preserve">IT-systemets </w:t>
            </w:r>
          </w:p>
          <w:p w:rsidR="0056677E" w:rsidRDefault="0056677E" w:rsidP="00E51CA6">
            <w:pPr>
              <w:spacing w:before="20" w:after="20"/>
            </w:pPr>
            <w:r>
              <w:t>levetid</w:t>
            </w:r>
          </w:p>
          <w:p w:rsidR="0056677E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 xml:space="preserve">IT-systemets levetid strækker sig fra første </w:t>
            </w:r>
            <w:r w:rsidRPr="000C2B92">
              <w:t xml:space="preserve">registrering </w:t>
            </w:r>
            <w:r>
              <w:t xml:space="preserve">af data, </w:t>
            </w:r>
            <w:r w:rsidRPr="000C2B92">
              <w:t>til</w:t>
            </w:r>
            <w:r>
              <w:t xml:space="preserve"> aflevering af de sidste data. </w:t>
            </w:r>
          </w:p>
          <w:p w:rsidR="0056677E" w:rsidRDefault="0056677E" w:rsidP="00E51CA6">
            <w:pPr>
              <w:spacing w:before="20" w:after="20"/>
            </w:pPr>
            <w:r>
              <w:t>Et område, der sjældent beskrives i IT-kontrakter er arkivering, et andet er overlevering (m</w:t>
            </w:r>
            <w:r w:rsidRPr="00B72299">
              <w:t>igrering</w:t>
            </w:r>
            <w:r>
              <w:t>)</w:t>
            </w:r>
            <w:r w:rsidRPr="00B72299">
              <w:t xml:space="preserve"> </w:t>
            </w:r>
            <w:r>
              <w:t xml:space="preserve">af data til nye systemer. 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 w:rsidRPr="00F454C5">
              <w:t>Stil krav om at løsningen</w:t>
            </w:r>
            <w:r>
              <w:t xml:space="preserve">s udgifter til arkivering indgår i kontrakten. </w:t>
            </w:r>
          </w:p>
          <w:p w:rsidR="0056677E" w:rsidRDefault="0056677E" w:rsidP="00E51CA6">
            <w:pPr>
              <w:spacing w:before="20" w:after="20"/>
            </w:pPr>
            <w:r>
              <w:t>Tag stilling til hvem der ejer systemets data, samt hvordan (og til hvilken pris) de kan m</w:t>
            </w:r>
            <w:r w:rsidRPr="00B72299">
              <w:t>igrer</w:t>
            </w:r>
            <w:r>
              <w:t>es til nye systemer.</w:t>
            </w:r>
          </w:p>
        </w:tc>
        <w:tc>
          <w:tcPr>
            <w:tcW w:w="1158" w:type="pct"/>
          </w:tcPr>
          <w:p w:rsidR="0056677E" w:rsidRPr="00E31BEC" w:rsidRDefault="0056677E" w:rsidP="00E51CA6"/>
          <w:p w:rsidR="0056677E" w:rsidRDefault="0056677E" w:rsidP="00E51CA6"/>
          <w:p w:rsidR="0056677E" w:rsidRPr="00F454C5" w:rsidRDefault="0056677E" w:rsidP="00E51CA6">
            <w:pPr>
              <w:spacing w:before="20" w:after="20"/>
            </w:pPr>
          </w:p>
        </w:tc>
      </w:tr>
      <w:tr w:rsidR="0056677E" w:rsidTr="00D52B41">
        <w:tc>
          <w:tcPr>
            <w:tcW w:w="869" w:type="pct"/>
          </w:tcPr>
          <w:p w:rsidR="0056677E" w:rsidRDefault="0056677E" w:rsidP="00E51CA6">
            <w:pPr>
              <w:spacing w:before="20" w:after="20"/>
            </w:pPr>
            <w:proofErr w:type="spellStart"/>
            <w:r>
              <w:t>Responsiv</w:t>
            </w:r>
            <w:proofErr w:type="spellEnd"/>
            <w:r>
              <w:t xml:space="preserve"> design</w:t>
            </w:r>
          </w:p>
          <w:p w:rsidR="0056677E" w:rsidRPr="00710FC3" w:rsidRDefault="0056677E" w:rsidP="00E51CA6">
            <w:pPr>
              <w:spacing w:before="20" w:after="20"/>
            </w:pPr>
          </w:p>
        </w:tc>
        <w:tc>
          <w:tcPr>
            <w:tcW w:w="1507" w:type="pct"/>
          </w:tcPr>
          <w:p w:rsidR="0056677E" w:rsidRDefault="0056677E" w:rsidP="00E51CA6">
            <w:pPr>
              <w:spacing w:before="20" w:after="20"/>
            </w:pPr>
            <w:r>
              <w:t>Ved at løsningens brugerinterface automatisk tilpasser sig den skærmstørrelse en stationær PC, bærbar PC, tablet eller smartphone har, øges anvendelsesgraden væsentligt.</w:t>
            </w:r>
          </w:p>
        </w:tc>
        <w:tc>
          <w:tcPr>
            <w:tcW w:w="1466" w:type="pct"/>
          </w:tcPr>
          <w:p w:rsidR="0056677E" w:rsidRDefault="0056677E" w:rsidP="00E51CA6">
            <w:pPr>
              <w:spacing w:before="20" w:after="20"/>
            </w:pPr>
            <w:r>
              <w:t>Stil krav om at brugerinterface skal kunne fungere, uafhængigt af enhedstyper og skærmstørrelser.</w:t>
            </w:r>
          </w:p>
        </w:tc>
        <w:tc>
          <w:tcPr>
            <w:tcW w:w="1158" w:type="pct"/>
          </w:tcPr>
          <w:p w:rsidR="0056677E" w:rsidRDefault="0056677E" w:rsidP="00E2358D">
            <w:pPr>
              <w:spacing w:before="20" w:after="20"/>
            </w:pPr>
          </w:p>
        </w:tc>
      </w:tr>
    </w:tbl>
    <w:p w:rsidR="004A09AB" w:rsidRPr="0056677E" w:rsidRDefault="004A09AB" w:rsidP="0056677E"/>
    <w:sectPr w:rsidR="004A09AB" w:rsidRPr="0056677E" w:rsidSect="00206615">
      <w:headerReference w:type="default" r:id="rId8"/>
      <w:footerReference w:type="default" r:id="rId9"/>
      <w:headerReference w:type="first" r:id="rId10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7E" w:rsidRPr="0056677E" w:rsidRDefault="0056677E" w:rsidP="00413091">
      <w:pPr>
        <w:spacing w:line="240" w:lineRule="auto"/>
      </w:pPr>
      <w:r w:rsidRPr="0056677E">
        <w:separator/>
      </w:r>
    </w:p>
  </w:endnote>
  <w:endnote w:type="continuationSeparator" w:id="0">
    <w:p w:rsidR="0056677E" w:rsidRPr="0056677E" w:rsidRDefault="0056677E" w:rsidP="00413091">
      <w:pPr>
        <w:spacing w:line="240" w:lineRule="auto"/>
      </w:pPr>
      <w:r w:rsidRPr="005667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56677E" w:rsidRDefault="00A31CFA" w:rsidP="00A31CFA">
    <w:pPr>
      <w:pStyle w:val="Sidefod"/>
      <w:jc w:val="right"/>
    </w:pPr>
    <w:r w:rsidRPr="0056677E">
      <w:t xml:space="preserve">Side </w:t>
    </w:r>
    <w:r w:rsidR="007628E6" w:rsidRPr="0056677E">
      <w:fldChar w:fldCharType="begin"/>
    </w:r>
    <w:r w:rsidR="00C70110" w:rsidRPr="0056677E">
      <w:instrText xml:space="preserve"> PAGE   \* MERGEFORMAT </w:instrText>
    </w:r>
    <w:r w:rsidR="007628E6" w:rsidRPr="0056677E">
      <w:fldChar w:fldCharType="separate"/>
    </w:r>
    <w:r w:rsidR="005C78BB">
      <w:rPr>
        <w:noProof/>
      </w:rPr>
      <w:t>4</w:t>
    </w:r>
    <w:r w:rsidR="007628E6" w:rsidRPr="0056677E">
      <w:rPr>
        <w:noProof/>
      </w:rPr>
      <w:fldChar w:fldCharType="end"/>
    </w:r>
    <w:r w:rsidRPr="0056677E">
      <w:t xml:space="preserve"> af </w:t>
    </w:r>
    <w:fldSimple w:instr=" NUMPAGES   \* MERGEFORMAT ">
      <w:r w:rsidR="005C78B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7E" w:rsidRPr="0056677E" w:rsidRDefault="0056677E" w:rsidP="00413091">
      <w:pPr>
        <w:spacing w:line="240" w:lineRule="auto"/>
      </w:pPr>
      <w:r w:rsidRPr="0056677E">
        <w:separator/>
      </w:r>
    </w:p>
  </w:footnote>
  <w:footnote w:type="continuationSeparator" w:id="0">
    <w:p w:rsidR="0056677E" w:rsidRPr="0056677E" w:rsidRDefault="0056677E" w:rsidP="00413091">
      <w:pPr>
        <w:spacing w:line="240" w:lineRule="auto"/>
      </w:pPr>
      <w:r w:rsidRPr="0056677E">
        <w:continuationSeparator/>
      </w:r>
    </w:p>
  </w:footnote>
  <w:footnote w:id="1">
    <w:p w:rsidR="00104AF6" w:rsidRPr="00104AF6" w:rsidRDefault="00104AF6">
      <w:pPr>
        <w:pStyle w:val="Fodnotetekst"/>
        <w:rPr>
          <w:sz w:val="18"/>
          <w:szCs w:val="18"/>
        </w:rPr>
      </w:pPr>
      <w:r w:rsidRPr="00104AF6">
        <w:rPr>
          <w:rStyle w:val="Fodnotehenvisning"/>
          <w:sz w:val="18"/>
          <w:szCs w:val="18"/>
        </w:rPr>
        <w:footnoteRef/>
      </w:r>
      <w:r w:rsidRPr="00104AF6">
        <w:rPr>
          <w:sz w:val="18"/>
          <w:szCs w:val="18"/>
        </w:rPr>
        <w:t xml:space="preserve"> De her anførte IT-Arkitekturprincipper er </w:t>
      </w:r>
      <w:r>
        <w:rPr>
          <w:sz w:val="18"/>
          <w:szCs w:val="18"/>
        </w:rPr>
        <w:t>godkendt af</w:t>
      </w:r>
      <w:r w:rsidRPr="00104AF6">
        <w:rPr>
          <w:sz w:val="18"/>
          <w:szCs w:val="18"/>
        </w:rPr>
        <w:t xml:space="preserve"> Den Digitale Styregruppe den 17. september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56677E" w:rsidRDefault="00A31CFA">
    <w:pPr>
      <w:pStyle w:val="Sidehoved"/>
    </w:pPr>
  </w:p>
  <w:p w:rsidR="00A31CFA" w:rsidRPr="0056677E" w:rsidRDefault="00A31CFA">
    <w:pPr>
      <w:pStyle w:val="Sidehoved"/>
    </w:pPr>
  </w:p>
  <w:p w:rsidR="00A31CFA" w:rsidRPr="0056677E" w:rsidRDefault="00A31CFA">
    <w:pPr>
      <w:pStyle w:val="Sidehoved"/>
    </w:pPr>
  </w:p>
  <w:p w:rsidR="00A31CFA" w:rsidRPr="0056677E" w:rsidRDefault="00A31CFA">
    <w:pPr>
      <w:pStyle w:val="Sidehoved"/>
    </w:pPr>
  </w:p>
  <w:p w:rsidR="00A31CFA" w:rsidRPr="0056677E" w:rsidRDefault="00A31CFA">
    <w:pPr>
      <w:pStyle w:val="Sidehoved"/>
    </w:pPr>
  </w:p>
  <w:p w:rsidR="00A31CFA" w:rsidRPr="0056677E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" w:tblpY="1"/>
      <w:tblOverlap w:val="never"/>
      <w:tblW w:w="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56677E" w:rsidTr="0056677E">
      <w:trPr>
        <w:trHeight w:hRule="exact" w:val="23"/>
      </w:trPr>
      <w:tc>
        <w:tcPr>
          <w:tcW w:w="8927" w:type="dxa"/>
          <w:shd w:val="clear" w:color="auto" w:fill="auto"/>
        </w:tcPr>
        <w:p w:rsidR="0056677E" w:rsidRPr="0056677E" w:rsidRDefault="0056677E" w:rsidP="0056677E">
          <w:pPr>
            <w:pStyle w:val="Sidehoved"/>
            <w:rPr>
              <w:lang w:val="en-US"/>
            </w:rPr>
          </w:pPr>
          <w:bookmarkStart w:id="2" w:name="Acadre15latemergedIDTextBox" w:colFirst="0" w:colLast="0"/>
          <w:r w:rsidRPr="0056677E">
            <w:rPr>
              <w:lang w:val="en-US"/>
            </w:rPr>
            <w:t>&lt;</w:t>
          </w:r>
          <w:proofErr w:type="spellStart"/>
          <w:r w:rsidRPr="0056677E">
            <w:rPr>
              <w:lang w:val="en-US"/>
            </w:rPr>
            <w:t>ArrayOfAcadreLatemergedField</w:t>
          </w:r>
          <w:proofErr w:type="spellEnd"/>
          <w:r w:rsidRPr="0056677E">
            <w:rPr>
              <w:lang w:val="en-US"/>
            </w:rPr>
            <w:t>&gt;</w:t>
          </w:r>
        </w:p>
        <w:p w:rsidR="0056677E" w:rsidRPr="0056677E" w:rsidRDefault="0056677E" w:rsidP="0056677E">
          <w:pPr>
            <w:pStyle w:val="Sidehoved"/>
            <w:rPr>
              <w:lang w:val="en-US"/>
            </w:rPr>
          </w:pPr>
          <w:r w:rsidRPr="0056677E">
            <w:rPr>
              <w:lang w:val="en-US"/>
            </w:rPr>
            <w:t xml:space="preserve">  &lt;</w:t>
          </w:r>
          <w:proofErr w:type="spellStart"/>
          <w:r w:rsidRPr="0056677E">
            <w:rPr>
              <w:lang w:val="en-US"/>
            </w:rPr>
            <w:t>AcadreLatemergedField</w:t>
          </w:r>
          <w:proofErr w:type="spellEnd"/>
          <w:r w:rsidRPr="0056677E">
            <w:rPr>
              <w:lang w:val="en-US"/>
            </w:rPr>
            <w:t>&gt;</w:t>
          </w:r>
        </w:p>
        <w:p w:rsidR="0056677E" w:rsidRPr="0056677E" w:rsidRDefault="0056677E" w:rsidP="0056677E">
          <w:pPr>
            <w:pStyle w:val="Sidehoved"/>
            <w:rPr>
              <w:lang w:val="en-US"/>
            </w:rPr>
          </w:pPr>
          <w:r w:rsidRPr="0056677E">
            <w:rPr>
              <w:lang w:val="en-US"/>
            </w:rPr>
            <w:t xml:space="preserve">    &lt;Name&gt;</w:t>
          </w:r>
          <w:proofErr w:type="spellStart"/>
          <w:r w:rsidRPr="0056677E">
            <w:rPr>
              <w:lang w:val="en-US"/>
            </w:rPr>
            <w:t>DocumentUUID</w:t>
          </w:r>
          <w:proofErr w:type="spellEnd"/>
          <w:r w:rsidRPr="0056677E">
            <w:rPr>
              <w:lang w:val="en-US"/>
            </w:rPr>
            <w:t>&lt;/Name&gt;</w:t>
          </w:r>
        </w:p>
        <w:p w:rsidR="0056677E" w:rsidRPr="0056677E" w:rsidRDefault="0056677E" w:rsidP="0056677E">
          <w:pPr>
            <w:pStyle w:val="Sidehoved"/>
            <w:rPr>
              <w:lang w:val="en-US"/>
            </w:rPr>
          </w:pPr>
          <w:r w:rsidRPr="0056677E">
            <w:rPr>
              <w:lang w:val="en-US"/>
            </w:rPr>
            <w:t xml:space="preserve">    &lt;Value&gt;</w:t>
          </w:r>
          <w:proofErr w:type="spellStart"/>
          <w:r w:rsidRPr="0056677E">
            <w:rPr>
              <w:lang w:val="en-US"/>
            </w:rPr>
            <w:t>AcadreDocumentNodeId</w:t>
          </w:r>
          <w:proofErr w:type="spellEnd"/>
          <w:r w:rsidRPr="0056677E">
            <w:rPr>
              <w:lang w:val="en-US"/>
            </w:rPr>
            <w:t>&lt;/Value&gt;</w:t>
          </w:r>
        </w:p>
        <w:p w:rsidR="0056677E" w:rsidRPr="0056677E" w:rsidRDefault="0056677E" w:rsidP="0056677E">
          <w:pPr>
            <w:pStyle w:val="Sidehoved"/>
            <w:rPr>
              <w:lang w:val="en-US"/>
            </w:rPr>
          </w:pPr>
          <w:r w:rsidRPr="0056677E">
            <w:rPr>
              <w:lang w:val="en-US"/>
            </w:rPr>
            <w:t xml:space="preserve">  &lt;/</w:t>
          </w:r>
          <w:proofErr w:type="spellStart"/>
          <w:r w:rsidRPr="0056677E">
            <w:rPr>
              <w:lang w:val="en-US"/>
            </w:rPr>
            <w:t>AcadreLatemergedField</w:t>
          </w:r>
          <w:proofErr w:type="spellEnd"/>
          <w:r w:rsidRPr="0056677E">
            <w:rPr>
              <w:lang w:val="en-US"/>
            </w:rPr>
            <w:t>&gt;</w:t>
          </w:r>
        </w:p>
        <w:p w:rsidR="0056677E" w:rsidRPr="0056677E" w:rsidRDefault="0056677E" w:rsidP="0056677E">
          <w:pPr>
            <w:pStyle w:val="Sidehoved"/>
            <w:rPr>
              <w:lang w:val="en-US"/>
            </w:rPr>
          </w:pPr>
          <w:r w:rsidRPr="0056677E">
            <w:rPr>
              <w:lang w:val="en-US"/>
            </w:rPr>
            <w:t xml:space="preserve">  &lt;</w:t>
          </w:r>
          <w:proofErr w:type="spellStart"/>
          <w:r w:rsidRPr="0056677E">
            <w:rPr>
              <w:lang w:val="en-US"/>
            </w:rPr>
            <w:t>AcadreLatemergedField</w:t>
          </w:r>
          <w:proofErr w:type="spellEnd"/>
          <w:r w:rsidRPr="0056677E">
            <w:rPr>
              <w:lang w:val="en-US"/>
            </w:rPr>
            <w:t>&gt;</w:t>
          </w:r>
        </w:p>
        <w:p w:rsidR="0056677E" w:rsidRPr="0056677E" w:rsidRDefault="0056677E" w:rsidP="0056677E">
          <w:pPr>
            <w:pStyle w:val="Sidehoved"/>
            <w:rPr>
              <w:lang w:val="en-US"/>
            </w:rPr>
          </w:pPr>
          <w:r w:rsidRPr="0056677E">
            <w:rPr>
              <w:lang w:val="en-US"/>
            </w:rPr>
            <w:t xml:space="preserve">    &lt;Name&gt;</w:t>
          </w:r>
          <w:proofErr w:type="spellStart"/>
          <w:r w:rsidRPr="0056677E">
            <w:rPr>
              <w:lang w:val="en-US"/>
            </w:rPr>
            <w:t>CaseUUID</w:t>
          </w:r>
          <w:proofErr w:type="spellEnd"/>
          <w:r w:rsidRPr="0056677E">
            <w:rPr>
              <w:lang w:val="en-US"/>
            </w:rPr>
            <w:t>&lt;/Name&gt;</w:t>
          </w:r>
        </w:p>
        <w:p w:rsidR="0056677E" w:rsidRPr="0056677E" w:rsidRDefault="0056677E" w:rsidP="0056677E">
          <w:pPr>
            <w:pStyle w:val="Sidehoved"/>
            <w:rPr>
              <w:lang w:val="en-US"/>
            </w:rPr>
          </w:pPr>
          <w:r w:rsidRPr="0056677E">
            <w:rPr>
              <w:lang w:val="en-US"/>
            </w:rPr>
            <w:t xml:space="preserve">    &lt;Value&gt;</w:t>
          </w:r>
          <w:proofErr w:type="spellStart"/>
          <w:r w:rsidRPr="0056677E">
            <w:rPr>
              <w:lang w:val="en-US"/>
            </w:rPr>
            <w:t>AcadreCaseNodeId</w:t>
          </w:r>
          <w:proofErr w:type="spellEnd"/>
          <w:r w:rsidRPr="0056677E">
            <w:rPr>
              <w:lang w:val="en-US"/>
            </w:rPr>
            <w:t>&lt;/Value&gt;</w:t>
          </w:r>
        </w:p>
        <w:p w:rsidR="0056677E" w:rsidRDefault="0056677E" w:rsidP="0056677E">
          <w:pPr>
            <w:pStyle w:val="Sidehoved"/>
          </w:pPr>
          <w:r w:rsidRPr="0056677E">
            <w:rPr>
              <w:lang w:val="en-US"/>
            </w:rPr>
            <w:t xml:space="preserve">  </w:t>
          </w:r>
          <w:r>
            <w:t>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:rsidR="0056677E" w:rsidRDefault="0056677E" w:rsidP="0056677E">
          <w:pPr>
            <w:pStyle w:val="Sidehoved"/>
          </w:pPr>
          <w:r>
            <w:t>&lt;/</w:t>
          </w:r>
          <w:proofErr w:type="spellStart"/>
          <w:r>
            <w:t>ArrayOfAcadreLatemergedField</w:t>
          </w:r>
          <w:proofErr w:type="spellEnd"/>
          <w:r>
            <w:t>&gt;</w:t>
          </w:r>
        </w:p>
      </w:tc>
    </w:tr>
  </w:tbl>
  <w:bookmarkEnd w:id="2"/>
  <w:p w:rsidR="0056677E" w:rsidRDefault="0056677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6.017"/>
    <w:docVar w:name="DocumentCreated" w:val="DocumentCreated"/>
    <w:docVar w:name="DocumentCreatedOK" w:val="DocumentCreatedOK"/>
    <w:docVar w:name="DocumentInitialized" w:val="OK"/>
    <w:docVar w:name="Encrypted_AcadreDataCaseNodeId" w:val="2Qpf4RS7Jofxy/+/XzKpyx+hydlI0d06IQJFjN3mKnpctoOJ/YA7yNwJaaLTwinr"/>
    <w:docVar w:name="Encrypted_AcadreDataCaseNumber" w:val="iRpzxjB7A/7VPU/ZDaK6vg=="/>
    <w:docVar w:name="Encrypted_AcadreDataCaseTitle" w:val="tm/P0/fMUfzdRhofyox/cg=="/>
    <w:docVar w:name="Encrypted_AcadreDataCaseUUID" w:val="2Qpf4RS7Jofxy/+/XzKpyx+hydlI0d06IQJFjN3mKnpctoOJ/YA7yNwJaaLTwinr"/>
    <w:docVar w:name="Encrypted_AcadreDataDocumentDate" w:val="hADB4MQwsovD/R+CA/HY+A=="/>
    <w:docVar w:name="Encrypted_AcadreDataDocumentResponsibleUserName" w:val="bH8qCIWDbQsfjEH1wmucX6YWaULvNcJ24663G2y0MZM="/>
    <w:docVar w:name="Encrypted_AcadreDataDocumentTitle" w:val="tSk9lzkdcbO3CB8j3ptZ07PmOSLxIwZv0wWPacxIXl0="/>
    <w:docVar w:name="Encrypted_AcadreDocumentToMultipleRecipients" w:val="Go1BF8BBsJqqGsR1izlsvQ=="/>
    <w:docVar w:name="Encrypted_DocCaseNo" w:val="iRpzxjB7A/7VPU/ZDaK6vg=="/>
    <w:docVar w:name="Encrypted_DocFESDCaseID" w:val="RR/+igcox/YHMNCPOtO2F07Nk01IEEuZVEP8KRrH/lg="/>
    <w:docVar w:name="Encrypted_DocHeader" w:val="tSk9lzkdcbO3CB8j3ptZ07PmOSLxIwZv0wWPacxIXl0="/>
    <w:docVar w:name="IntegrationType" w:val="AcadreCM"/>
    <w:docVar w:name="SaveInTemplateCenterEnabled" w:val="False"/>
  </w:docVars>
  <w:rsids>
    <w:rsidRoot w:val="0056677E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E7464"/>
    <w:rsid w:val="00104AF6"/>
    <w:rsid w:val="00107426"/>
    <w:rsid w:val="00120B17"/>
    <w:rsid w:val="00153200"/>
    <w:rsid w:val="00155E07"/>
    <w:rsid w:val="00167831"/>
    <w:rsid w:val="00176013"/>
    <w:rsid w:val="00187C4D"/>
    <w:rsid w:val="001900A6"/>
    <w:rsid w:val="001C0814"/>
    <w:rsid w:val="001E0C2B"/>
    <w:rsid w:val="001F0833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6677E"/>
    <w:rsid w:val="00576D31"/>
    <w:rsid w:val="005818F4"/>
    <w:rsid w:val="005851EB"/>
    <w:rsid w:val="0059393D"/>
    <w:rsid w:val="005B0642"/>
    <w:rsid w:val="005C2578"/>
    <w:rsid w:val="005C78BB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13EF1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66D66"/>
    <w:rsid w:val="00874E20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C0F41"/>
    <w:rsid w:val="009C3A5F"/>
    <w:rsid w:val="009F703D"/>
    <w:rsid w:val="00A0193C"/>
    <w:rsid w:val="00A11363"/>
    <w:rsid w:val="00A31CFA"/>
    <w:rsid w:val="00A37638"/>
    <w:rsid w:val="00A5055E"/>
    <w:rsid w:val="00AC68D6"/>
    <w:rsid w:val="00AF43A9"/>
    <w:rsid w:val="00B03261"/>
    <w:rsid w:val="00B1666C"/>
    <w:rsid w:val="00B25A66"/>
    <w:rsid w:val="00B50E94"/>
    <w:rsid w:val="00B53B9E"/>
    <w:rsid w:val="00B74C75"/>
    <w:rsid w:val="00B86FA7"/>
    <w:rsid w:val="00BA0A83"/>
    <w:rsid w:val="00BA33F1"/>
    <w:rsid w:val="00BA5D43"/>
    <w:rsid w:val="00BB464D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B309D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1E4F"/>
    <w:rsid w:val="00D43F9D"/>
    <w:rsid w:val="00D444B6"/>
    <w:rsid w:val="00D44B16"/>
    <w:rsid w:val="00D44EA1"/>
    <w:rsid w:val="00D52B4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358D"/>
    <w:rsid w:val="00E249BF"/>
    <w:rsid w:val="00E66208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84A28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93CE8B"/>
  <w15:docId w15:val="{5A498A6A-F759-49F2-A243-11157460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Fodnotetekst">
    <w:name w:val="footnote text"/>
    <w:basedOn w:val="Normal"/>
    <w:link w:val="FodnotetekstTegn"/>
    <w:uiPriority w:val="99"/>
    <w:unhideWhenUsed/>
    <w:rsid w:val="0056677E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rsid w:val="0056677E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6677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6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arbejderportalen.aabenraa.dk/til-alle-ledere/it-og-digitalisering/informationssikkerhed/system-og-dataejer/databehandlerafta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B001-52D4-4927-86BE-649E6F23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4923</Characters>
  <Application>Microsoft Office Word</Application>
  <DocSecurity>0</DocSecurity>
  <Lines>351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Arkitekturprincipper - IT</vt:lpstr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Arkitekturprincipper - IT</dc:title>
  <dc:creator>Peter Ahlmann Kierkegaard</dc:creator>
  <cp:lastModifiedBy>Lennart Hoffmann Kastbjerg</cp:lastModifiedBy>
  <cp:revision>4</cp:revision>
  <dcterms:created xsi:type="dcterms:W3CDTF">2020-11-12T12:57:00Z</dcterms:created>
  <dcterms:modified xsi:type="dcterms:W3CDTF">2020-11-12T12:58:00Z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{180656EA-4F59-448D-B504-7B93A1543683}</vt:lpwstr>
  </property>
</Properties>
</file>